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_GBK" w:hAnsi="方正小标宋_GBK" w:eastAsia="方正小标宋_GBK" w:cs="方正小标宋_GBK"/>
          <w:b w:val="0"/>
          <w:bCs w:val="0"/>
          <w:spacing w:val="0"/>
          <w:w w:val="100"/>
          <w:kern w:val="2"/>
          <w:sz w:val="52"/>
          <w:szCs w:val="52"/>
          <w:lang w:val="en-US" w:eastAsia="zh-CN" w:bidi="ar-SA"/>
        </w:rPr>
      </w:pPr>
      <w:r>
        <w:rPr>
          <w:rFonts w:hint="eastAsia" w:ascii="方正小标宋_GBK" w:hAnsi="方正小标宋_GBK" w:eastAsia="方正小标宋_GBK" w:cs="方正小标宋_GBK"/>
          <w:w w:val="100"/>
          <w:sz w:val="52"/>
          <w:szCs w:val="52"/>
        </w:rPr>
        <mc:AlternateContent>
          <mc:Choice Requires="wps">
            <w:drawing>
              <wp:anchor distT="0" distB="0" distL="114300" distR="114300" simplePos="0" relativeHeight="251659264" behindDoc="0" locked="0" layoutInCell="1" allowOverlap="1">
                <wp:simplePos x="0" y="0"/>
                <wp:positionH relativeFrom="column">
                  <wp:posOffset>-207010</wp:posOffset>
                </wp:positionH>
                <wp:positionV relativeFrom="paragraph">
                  <wp:posOffset>-55880</wp:posOffset>
                </wp:positionV>
                <wp:extent cx="1064895" cy="691515"/>
                <wp:effectExtent l="4445" t="4445" r="16510" b="8890"/>
                <wp:wrapNone/>
                <wp:docPr id="3" name="文本框 3"/>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16.3pt;margin-top:-4.4pt;height:54.45pt;width:83.85pt;z-index:251659264;v-text-anchor:middle;mso-width-relative:page;mso-height-relative:page;" fillcolor="#FFFFFF" filled="t" stroked="t" coordsize="21600,21600" o:gfxdata="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zesp/9UAAAAK&#10;AQAADwAAAAAAAAABACAAAAAiAAAAZHJzL2Rvd25yZXYueG1sUEsBAhQAFAAAAAgAh07iQNUkmVof&#10;AgAAXwQAAA4AAAAAAAAAAQAgAAAAJAEAAGRycy9lMm9Eb2MueG1sUEsFBgAAAAAGAAYAWQEAALUF&#10;AAA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450" w:beforeAutospacing="0" w:after="0" w:afterAutospacing="0"/>
        <w:ind w:left="0" w:right="0" w:firstLine="0"/>
        <w:jc w:val="center"/>
        <w:rPr>
          <w:rFonts w:hint="eastAsia" w:ascii="方正小标宋_GBK" w:hAnsi="方正小标宋_GBK" w:eastAsia="方正小标宋_GBK" w:cs="方正小标宋_GBK"/>
          <w:b w:val="0"/>
          <w:bCs w:val="0"/>
          <w:spacing w:val="0"/>
          <w:w w:val="95"/>
          <w:kern w:val="2"/>
          <w:sz w:val="52"/>
          <w:szCs w:val="52"/>
          <w:lang w:val="en-US" w:eastAsia="zh-CN" w:bidi="ar-SA"/>
        </w:rPr>
      </w:pPr>
      <w:r>
        <w:rPr>
          <w:rFonts w:hint="eastAsia" w:ascii="方正小标宋_GBK" w:hAnsi="方正小标宋_GBK" w:eastAsia="方正小标宋_GBK" w:cs="方正小标宋_GBK"/>
          <w:b w:val="0"/>
          <w:bCs w:val="0"/>
          <w:spacing w:val="0"/>
          <w:w w:val="95"/>
          <w:kern w:val="2"/>
          <w:sz w:val="52"/>
          <w:szCs w:val="52"/>
          <w:lang w:val="en-US" w:eastAsia="zh-CN" w:bidi="ar-SA"/>
        </w:rPr>
        <w:t>习近平：着眼全国大局发挥自身优势明确主攻方向 奋力谱写中国式现代化建设的陕西篇章</w:t>
      </w:r>
    </w:p>
    <w:p>
      <w:pPr>
        <w:keepNext w:val="0"/>
        <w:keepLines w:val="0"/>
        <w:pageBreakBefore w:val="0"/>
        <w:widowControl w:val="0"/>
        <w:kinsoku/>
        <w:wordWrap/>
        <w:overflowPunct/>
        <w:topLinePunct w:val="0"/>
        <w:autoSpaceDE/>
        <w:autoSpaceDN/>
        <w:bidi w:val="0"/>
        <w:adjustRightInd/>
        <w:snapToGrid/>
        <w:spacing w:before="637" w:beforeLines="200"/>
        <w:jc w:val="both"/>
        <w:textAlignment w:val="auto"/>
        <w:rPr>
          <w:rFonts w:hint="eastAsia" w:ascii="方正小标宋_GBK" w:hAnsi="方正小标宋_GBK" w:eastAsia="方正小标宋_GBK" w:cs="方正小标宋_GBK"/>
          <w:spacing w:val="0"/>
          <w:w w:val="100"/>
          <w:sz w:val="44"/>
          <w:szCs w:val="44"/>
          <w:lang w:eastAsia="zh-CN"/>
        </w:rPr>
      </w:pP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简体" w:hAnsi="方正小标宋简体" w:eastAsia="方正小标宋简体" w:cs="方正小标宋简体"/>
          <w:spacing w:val="0"/>
          <w:w w:val="100"/>
          <w:sz w:val="52"/>
          <w:szCs w:val="52"/>
          <w:lang w:eastAsia="zh-CN"/>
        </w:rPr>
      </w:pPr>
      <w:r>
        <w:rPr>
          <w:rFonts w:hint="eastAsia" w:ascii="方正小标宋简体" w:hAnsi="方正小标宋简体" w:eastAsia="方正小标宋简体" w:cs="方正小标宋简体"/>
          <w:spacing w:val="0"/>
          <w:w w:val="100"/>
          <w:sz w:val="52"/>
          <w:szCs w:val="52"/>
          <w:lang w:eastAsia="zh-CN"/>
        </w:rPr>
        <w:t>学 习 材 料</w:t>
      </w:r>
    </w:p>
    <w:p>
      <w:pPr>
        <w:jc w:val="both"/>
        <w:rPr>
          <w:rFonts w:hint="eastAsia" w:ascii="方正小标宋简体" w:hAnsi="Arial Unicode MS" w:eastAsia="方正小标宋简体" w:cs="Times New Roman"/>
          <w:spacing w:val="0"/>
          <w:w w:val="90"/>
          <w:sz w:val="52"/>
          <w:szCs w:val="52"/>
          <w:lang w:eastAsia="zh-CN"/>
        </w:rPr>
      </w:pPr>
    </w:p>
    <w:p>
      <w:pPr>
        <w:jc w:val="center"/>
        <w:rPr>
          <w:rFonts w:hint="eastAsia" w:ascii="方正小标宋简体" w:hAnsi="Arial Unicode MS" w:eastAsia="方正小标宋简体" w:cs="Times New Roman"/>
          <w:spacing w:val="0"/>
          <w:w w:val="90"/>
          <w:sz w:val="52"/>
          <w:szCs w:val="52"/>
          <w:lang w:eastAsia="zh-CN"/>
        </w:rPr>
      </w:pPr>
    </w:p>
    <w:p>
      <w:pPr>
        <w:jc w:val="both"/>
        <w:rPr>
          <w:rFonts w:hint="eastAsia" w:ascii="方正小标宋简体" w:hAnsi="Arial Unicode MS" w:eastAsia="方正小标宋简体" w:cs="Times New Roman"/>
          <w:spacing w:val="0"/>
          <w:w w:val="90"/>
          <w:sz w:val="52"/>
          <w:szCs w:val="52"/>
          <w:lang w:eastAsia="zh-CN"/>
        </w:rPr>
      </w:pP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rPr>
      </w:pPr>
      <w:r>
        <w:rPr>
          <w:rFonts w:hint="eastAsia" w:ascii="方正小标宋简体" w:hAnsi="Arial Unicode MS" w:eastAsia="方正小标宋简体" w:cs="Times New Roman"/>
          <w:spacing w:val="0"/>
          <w:sz w:val="36"/>
          <w:szCs w:val="36"/>
        </w:rPr>
        <w:t>中共西安建筑科技大学华清学院委员会</w:t>
      </w: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lang w:val="en-US" w:eastAsia="zh-CN"/>
        </w:rPr>
      </w:pPr>
      <w:r>
        <w:rPr>
          <w:rFonts w:hint="eastAsia" w:ascii="方正小标宋简体" w:hAnsi="Arial Unicode MS" w:eastAsia="方正小标宋简体" w:cs="Times New Roman"/>
          <w:spacing w:val="0"/>
          <w:sz w:val="36"/>
          <w:szCs w:val="36"/>
        </w:rPr>
        <w:t>20</w:t>
      </w:r>
      <w:r>
        <w:rPr>
          <w:rFonts w:hint="eastAsia" w:ascii="方正小标宋简体" w:hAnsi="Arial Unicode MS" w:eastAsia="方正小标宋简体" w:cs="Times New Roman"/>
          <w:spacing w:val="0"/>
          <w:sz w:val="36"/>
          <w:szCs w:val="36"/>
          <w:lang w:val="en-US" w:eastAsia="zh-CN"/>
        </w:rPr>
        <w:t>23</w:t>
      </w:r>
      <w:r>
        <w:rPr>
          <w:rFonts w:hint="eastAsia" w:ascii="方正小标宋简体" w:hAnsi="Arial Unicode MS" w:eastAsia="方正小标宋简体" w:cs="Times New Roman"/>
          <w:spacing w:val="0"/>
          <w:sz w:val="36"/>
          <w:szCs w:val="36"/>
        </w:rPr>
        <w:t>年</w:t>
      </w:r>
      <w:r>
        <w:rPr>
          <w:rFonts w:hint="eastAsia" w:ascii="方正小标宋简体" w:hAnsi="Arial Unicode MS" w:eastAsia="方正小标宋简体" w:cs="Times New Roman"/>
          <w:spacing w:val="0"/>
          <w:sz w:val="36"/>
          <w:szCs w:val="36"/>
          <w:lang w:val="en-US" w:eastAsia="zh-CN"/>
        </w:rPr>
        <w:t>9</w:t>
      </w:r>
      <w:r>
        <w:rPr>
          <w:rFonts w:hint="eastAsia" w:ascii="方正小标宋简体" w:hAnsi="Arial Unicode MS" w:eastAsia="方正小标宋简体" w:cs="Times New Roman"/>
          <w:spacing w:val="0"/>
          <w:sz w:val="36"/>
          <w:szCs w:val="36"/>
        </w:rPr>
        <w:t>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19" w:beforeLines="100" w:beforeAutospacing="0" w:after="0" w:afterAutospacing="0" w:line="560" w:lineRule="exact"/>
        <w:ind w:left="0" w:right="0" w:firstLine="0"/>
        <w:jc w:val="center"/>
        <w:textAlignment w:val="auto"/>
        <w:rPr>
          <w:rFonts w:hint="eastAsia" w:ascii="方正小标宋简体" w:hAnsi="Arial Unicode MS" w:eastAsia="方正小标宋简体" w:cs="Times New Roman"/>
          <w:b w:val="0"/>
          <w:bCs w:val="0"/>
          <w:spacing w:val="0"/>
          <w:w w:val="90"/>
          <w:kern w:val="2"/>
          <w:sz w:val="44"/>
          <w:szCs w:val="44"/>
          <w:lang w:val="en-US" w:eastAsia="zh-CN" w:bidi="ar-SA"/>
        </w:rPr>
        <w:sectPr>
          <w:pgSz w:w="11906" w:h="16838"/>
          <w:pgMar w:top="2098" w:right="1474" w:bottom="1984" w:left="1587" w:header="851" w:footer="992" w:gutter="0"/>
          <w:pgBorders>
            <w:top w:val="none" w:sz="0" w:space="0"/>
            <w:left w:val="none" w:sz="0" w:space="0"/>
            <w:bottom w:val="none" w:sz="0" w:space="0"/>
            <w:right w:val="none" w:sz="0" w:space="0"/>
          </w:pgBorders>
          <w:cols w:space="720" w:num="1"/>
          <w:rtlGutter w:val="0"/>
          <w:docGrid w:type="lines" w:linePitch="318" w:charSpace="0"/>
        </w:sectPr>
      </w:pPr>
    </w:p>
    <w:p>
      <w:pPr>
        <w:pStyle w:val="2"/>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before="450" w:beforeAutospacing="0" w:after="0" w:afterAutospacing="0" w:line="600" w:lineRule="exact"/>
        <w:ind w:left="0" w:leftChars="0" w:right="0" w:rightChars="0" w:firstLine="0"/>
        <w:textAlignment w:val="auto"/>
        <w:rPr>
          <w:rFonts w:hint="eastAsia"/>
          <w:w w:val="100"/>
          <w:lang w:val="en-US" w:eastAsia="zh-CN"/>
        </w:rPr>
      </w:pPr>
      <w:r>
        <w:rPr>
          <w:w w:val="100"/>
        </w:rPr>
        <mc:AlternateContent>
          <mc:Choice Requires="wps">
            <w:drawing>
              <wp:anchor distT="0" distB="0" distL="114300" distR="114300" simplePos="0" relativeHeight="251660288" behindDoc="0" locked="0" layoutInCell="1" allowOverlap="1">
                <wp:simplePos x="0" y="0"/>
                <wp:positionH relativeFrom="column">
                  <wp:posOffset>-346075</wp:posOffset>
                </wp:positionH>
                <wp:positionV relativeFrom="paragraph">
                  <wp:posOffset>-182880</wp:posOffset>
                </wp:positionV>
                <wp:extent cx="1064895" cy="691515"/>
                <wp:effectExtent l="4445" t="4445" r="16510" b="8890"/>
                <wp:wrapNone/>
                <wp:docPr id="4" name="文本框 4"/>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27.25pt;margin-top:-14.4pt;height:54.45pt;width:83.85pt;z-index:251660288;v-text-anchor:middle;mso-width-relative:page;mso-height-relative:page;" fillcolor="#FFFFFF" filled="t" stroked="t" coordsize="21600,21600" o:gfxdata="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iy3Ks1wAA&#10;AAoBAAAPAAAAAAAAAAEAIAAAACIAAABkcnMvZG93bnJldi54bWxQSwECFAAUAAAACACHTuJAnhsx&#10;7R8CAABfBAAADgAAAAAAAAABACAAAAAmAQAAZHJzL2Uyb0RvYy54bWxQSwUGAAAAAAYABgBZAQAA&#10;twUAA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r>
        <w:rPr>
          <w:rFonts w:hint="eastAsia"/>
          <w:w w:val="100"/>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方正小标宋_GBK" w:hAnsi="方正小标宋_GBK" w:eastAsia="方正小标宋_GBK" w:cs="方正小标宋_GBK"/>
          <w:spacing w:val="0"/>
          <w:w w:val="100"/>
          <w:sz w:val="44"/>
          <w:szCs w:val="44"/>
          <w:lang w:val="en-US" w:eastAsia="zh-CN"/>
        </w:rPr>
        <w:t>习近平：着眼全国大局发挥自身优势明确主攻方向 奋力谱写中国式现代化建设的陕西篇章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中共中央总书记、国家主席、中央军委主席习近平在听取陕西省委和省政府工作汇报时强调，陕西在推进中国式现代化建设中要有勇立潮头、争当时代弄潮儿的志向和气魄，奋力追赶、敢于超越，在西部地区发挥示范作用。要完整、准确、全面贯彻新发展理念，紧紧围绕高质量发展这个首要任务，着眼全国发展大局，立足陕西实际，发挥自身优势，明确主攻方向，主动融入和服务构建新发展格局，努力在实现科技自立自强、构建现代化产业体系、促进城乡区域协调发展、扩大高水平对外开放、加强生态环境保护等方面实现新突破，奋力谱写中国式现代化建设的陕西篇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5月17日，习近平在西安主持中国－中亚峰会前夕，专门听取陕西省委和省政府工作汇报，省委书记赵一德汇报，省长赵刚等参加汇报会。习近平发表了重要讲话，对陕西各项工作取得的成绩给予肯定。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习近平指出，陕西要实现追赶超越，必须在加强科技创新、建设现代化产业体系上取得新突破。要立足自身产业基础和资源禀赋，坚持把发展的着力点放在实体经济上，在巩固传统优势产业领先地位的同时，勇于开辟新领域、新赛道，培育竞争新优势。以科技创新为引领，加快传统产业高端化、智能化、绿色化升级改造，培育壮大战略性新兴产业，积极发展数字经济和现代服务业，加快构建具有智能化、绿色化、融合化特征和符合完整性、先进性、安全性要求的现代化产业体系，做强做优现代能源产业集群。着眼国家战略需求和国际竞争前沿，实施国家重大科技项目，攻克更多关键核心技术，打造更多“国之重器”。强化企业科技创新的主体地位，推动创新链产业链资金链人才链深度融合，加快科技成果产业化进程。建好西安综合性国家科学中心和科技创新中心，努力打造国家重要科研和文教中心、高新技术产业和制造业基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习近平强调，全面建设社会主义现代化国家，扎实推进共同富裕，最艰巨最繁重的任务仍然在农村，必须逐步缩小城乡差距。要积极推进以县城为重要载体的新型城镇化建设，提升县城市政公用设施建设水平和基础公共服务、产业配套功能，增强综合承载能力和治理能力，发挥县城对县域经济发展的辐射带动作用。因地制宜发展小城镇，促进特色小镇规范健康发展，构建以县城为枢纽、以小城镇为节点的县域经济体系。健全城乡融合发展体制机制，完善城乡要素平等交换、双向流动的政策体系，促进城市资源要素有序向乡村流动，增强农业农村发展活力。因地制宜大力发展特色产业，推进农村一二三产业融合发展，拓宽农民增收致富渠道。持续深化农村人居环境整治，加强传统村落和乡村特色风貌保护，加强农村精神文明建设，培育文明乡风。持续实施动态监测，不断增强脱贫地区内生发展动力，坚决守住不发生规模性返贫的底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习近平指出，要着力推动发展方式绿色低碳转型，提升生态文明建设水平。牢固树立和践行绿水青山就是金山银山的理念，继续打好蓝天碧水净土保卫战。要把黄河流域生态保护作为陕西高质量发展的基准线，严格执行黄河保护法和相关规划，推进水土流失、荒漠化综合治理，加强流域生态保护修复，深化农业面源污染、工业污染、城乡生活污染防治和矿区生态环境整治，守护好黄河母亲河。健全秦岭常态化长效化保护体制机制，完善监管体系，搞好动态排查整治，守护好我国中央水塔。强化南水北调中线工程水源地保护，确保“一泓清水永续北上”。推进经济社会发展绿色化、低碳化，加快产业结构、能源结构、交通运输结构和用地结构调整，促进能源产业绿色转型，积极稳妥推进碳达峰碳中和。实施全面节约战略，大力倡导绿色消费，深入推进资源节约集约利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习近平强调，要着力扩大对内对外开放，打造内陆改革开放高地。更加主动融入和服务构建新发展格局，更加深度融入共建“一带一路”大格局，在扩大对内对外开放中强动力、增活力，打开发展新天地。稳步扩大规则、规制、管理、标准等制度型开放，推进自贸试验区高质量发展，积极打造高能级开放平台。积极参与西部陆海新通道建设，充分发挥中欧班列西安集结中心作用，加快形成面向中亚南亚西亚国家的重要对外开放通道，在联通国内国际双循环中发挥更大作用。着力营造市场化、法治化、国际化一流营商环境，提高招商引资的质量和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习近平指出，学习贯彻新时代中国特色社会主义思想主题教育正在全党深入开展，各级党组织务必在深入、扎实上下功夫，在以学铸魂、以学增智、以学正风、以学促干上见实效。以学增智，就是要从党的科学理论中悟规律、明方向、学方法、增智慧，把看家本领、兴党本领、强国本领学到手。一要提升政治能力，善于从党和人民的立场、党和国家工作大局出发想问题、作决策、办事情，善于从繁杂问题中把握事物的规律性、从苗头问题中发现事物的趋势性、从偶然问题中认识事物的必然性，善于驾驭复杂局面、凝聚社会力量、防范政治风险，切实担负好党和人民赋予的政治责任，真正成为政治上的明白人。二要提升思维能力，把新时代中国特色社会主义思想的世界观、方法论和贯穿其中的立场观点方法转化为自己的科学思想方法，作为研究问题、解决问题的“总钥匙”，切实提高战略思维、辩证思维、系统思维、创新思维、历史思维、法治思维、底线思维能力，做到善于把握事物本质、把握发展规律、把握工作关键、把握政策尺度，增强工作科学性、预见性、主动性、创造性。三要提升实践能力，发扬理论联系实际的优良学风，全面把握新时代中国特色社会主义思想一系列新理念新思想新战略的实践要求，增强推动高质量发展、服务群众、防范化解风险本领，加强斗争精神和斗争本领养成，着力增强防风险、迎挑战、抗打压能力，及时填知识空白、补素质短板、强能力弱项，不断提高专业化水平。陕西要用好自身历史文化资源和红色文化资源，大力弘扬伟大建党精神和延安精神，推动主题教育走深走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习近平心系黄河流域生态和文物保护工作。5月16日下午，在前往陕西途中，习近平走下列车，在山西省委书记蓝佛安、省长金湘军陪同下，先后考察了运城博物馆和运城盐湖。运城历史悠久，文脉厚重，因“盐运之城”得名。在博物馆，习近平参观“华夏寻根”“馆藏珍品”“盬盐春秋”等展陈，详细了解运城有关人类起源和中华文明早期历史发展等，并听取运城盐湖的形成发展和历史沿革介绍。习近平强调，博物馆有很多宝贵文物甚至“国宝”，它们实证了我国百万年的人类史、一万年的文化史、五千多年的文明史，要深入实施中华文明探源工程，把中国文明历史研究引向深入。要认真贯彻落实党中央关于坚持保护第一、加强管理、挖掘价值、有效利用、让文物活起来的工作要求，全面提升文物保护利用和文化遗产保护传承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val="en-US" w:eastAsia="zh-CN"/>
        </w:rPr>
        <w:t>运城盐湖具有4600多年的开采史，有着深厚人文底蕴和重要历史价值。近年来，当地坚持保护优先、绿色发展，实施“退盐还湖”，盐湖保护范围内停止一切工业生产，因地制宜推动产业转型升级。习近平结合展板、展品等听取有关情况介绍，实地察看盐湖风貌。他指出，盐湖的生态价值和功能越来越重要，要统筹做好保护利用工作，让盐湖独特的人文历史资源和生态资源一代代传承下去，逐步恢复其生态功能，更好保护其历史文化价值。他强调，黄河流域生态保护和高质量发展，是党中央从中华民族和中华文明永续发展的高度作出的重大战略决策，黄河流域各省区都要坚持把保护黄河流域生态作为谋划发展、推动高质量发展的基准线，不利于黄河流域生态保护的事，坚决不能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eastAsia="zh-CN"/>
        </w:rPr>
        <w:t>（来源：</w:t>
      </w:r>
      <w:r>
        <w:rPr>
          <w:rFonts w:hint="eastAsia" w:ascii="仿宋_GB2312" w:hAnsi="仿宋_GB2312" w:eastAsia="仿宋_GB2312" w:cs="仿宋_GB2312"/>
          <w:i w:val="0"/>
          <w:iCs w:val="0"/>
          <w:caps w:val="0"/>
          <w:color w:val="262626"/>
          <w:spacing w:val="0"/>
          <w:sz w:val="32"/>
          <w:szCs w:val="32"/>
          <w:lang w:val="en-US" w:eastAsia="zh-CN"/>
        </w:rPr>
        <w:t>共产党员网</w:t>
      </w:r>
      <w:r>
        <w:rPr>
          <w:rFonts w:hint="eastAsia" w:ascii="仿宋_GB2312" w:hAnsi="仿宋_GB2312" w:eastAsia="仿宋_GB2312" w:cs="仿宋_GB2312"/>
          <w:i w:val="0"/>
          <w:iCs w:val="0"/>
          <w:caps w:val="0"/>
          <w:color w:val="262626"/>
          <w:spacing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lang w:val="en-US" w:eastAsia="zh-CN"/>
        </w:rPr>
      </w:pPr>
    </w:p>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2ZGVlNzdmNWNiODE1ZDFhMGI5YWE5OGUxZGQ5ZTcifQ=="/>
  </w:docVars>
  <w:rsids>
    <w:rsidRoot w:val="5CFA09C8"/>
    <w:rsid w:val="5C4F6C3E"/>
    <w:rsid w:val="5CFA09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2023-09-13T02:54:00Z</dcterms:created>
  <dc:creator>我是龙姑娘</dc:creator>
  <cp:lastModifiedBy>我是龙姑娘</cp:lastModifiedBy>
  <dcterms:modified xsi:type="dcterms:W3CDTF">2023-09-26T02:48:05Z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F5BEB0EB6AD348B0B092A6F06321FB80_11</vt:lpwstr>
  </property>
</Properties>
</file>