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rPr>
          <w:rFonts w:ascii="楷体" w:hAnsi="楷体" w:eastAsia="楷体"/>
          <w:b/>
          <w:color w:val="C00000"/>
          <w:sz w:val="30"/>
          <w:szCs w:val="30"/>
        </w:rPr>
      </w:pPr>
      <w:r>
        <w:rPr>
          <w:rFonts w:hint="eastAsia" w:ascii="楷体" w:hAnsi="楷体" w:eastAsia="楷体"/>
          <w:b/>
          <w:color w:val="C00000"/>
          <w:sz w:val="30"/>
          <w:szCs w:val="30"/>
        </w:rPr>
        <w:t>《数学之美》课程简介</w:t>
      </w:r>
      <w:bookmarkStart w:id="0" w:name="_GoBack"/>
      <w:bookmarkEnd w:id="0"/>
    </w:p>
    <w:p>
      <w:pPr>
        <w:ind w:firstLine="562" w:firstLineChars="200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本课程以通俗易懂的数学史</w:t>
      </w:r>
      <w:r>
        <w:rPr>
          <w:rFonts w:hint="eastAsia"/>
        </w:rPr>
        <w:t>、</w:t>
      </w:r>
      <w:r>
        <w:rPr>
          <w:rFonts w:hint="eastAsia" w:ascii="楷体" w:hAnsi="楷体" w:eastAsia="楷体"/>
          <w:b/>
          <w:sz w:val="28"/>
          <w:szCs w:val="28"/>
        </w:rPr>
        <w:t>难易适当的数学问题和知识为载体，纵观数学文化的历史、现状和未来，介绍数学思想、数学方法和数学精神，培养学生的数学式理性思维，激发学生学习数学的兴趣。</w:t>
      </w:r>
      <w:r>
        <w:rPr>
          <w:rFonts w:ascii="楷体" w:hAnsi="楷体" w:eastAsia="楷体"/>
          <w:b/>
          <w:sz w:val="28"/>
          <w:szCs w:val="28"/>
        </w:rPr>
        <w:t>该课程注重知识性、趣味性、思想性、应用性的统一，注重师生互动。</w:t>
      </w:r>
      <w:r>
        <w:rPr>
          <w:rFonts w:hint="eastAsia" w:ascii="楷体" w:hAnsi="楷体" w:eastAsia="楷体"/>
          <w:b/>
          <w:sz w:val="28"/>
          <w:szCs w:val="28"/>
        </w:rPr>
        <w:t>通过让学生受到优秀数学文化的熏陶，领会数学的美学价值、应用价值和文化价值，提高学生的数学素质和文化素养，使各个专业的学生都能爱上数学，发现数学之美，让每个学生的潜能都得到发展。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hint="eastAsia" w:ascii="楷体" w:hAnsi="楷体" w:eastAsia="楷体"/>
          <w:b/>
          <w:color w:val="C00000"/>
          <w:sz w:val="28"/>
          <w:szCs w:val="28"/>
        </w:rPr>
      </w:pPr>
      <w:r>
        <w:rPr>
          <w:rFonts w:hint="eastAsia" w:ascii="楷体" w:hAnsi="楷体" w:eastAsia="楷体"/>
          <w:b/>
          <w:color w:val="C00000"/>
          <w:sz w:val="28"/>
          <w:szCs w:val="28"/>
        </w:rPr>
        <w:t>主讲老师殷清燕 个人简介</w:t>
      </w:r>
    </w:p>
    <w:p>
      <w:pPr>
        <w:rPr>
          <w:rFonts w:ascii="Arial" w:hAnsi="Arial" w:cs="Arial"/>
          <w:sz w:val="20"/>
          <w:szCs w:val="20"/>
        </w:rPr>
      </w:pPr>
      <w:r>
        <w:rPr>
          <w:rFonts w:hint="eastAsia" w:ascii="楷体" w:hAnsi="楷体" w:eastAsia="楷体"/>
          <w:b/>
          <w:sz w:val="28"/>
          <w:szCs w:val="28"/>
        </w:rPr>
        <w:t>殷清燕，女，西安建筑科技大学理学院数学系，讲师，理学博士，毕业于西安交通大学应用数学专业，研究方向为模式识别与机器学习中的算法研究，发表学术论文6篇，主持两项校科技基金项目。主讲</w:t>
      </w:r>
      <w:r>
        <w:rPr>
          <w:rFonts w:ascii="楷体" w:hAnsi="楷体" w:eastAsia="楷体"/>
          <w:b/>
          <w:sz w:val="28"/>
          <w:szCs w:val="28"/>
        </w:rPr>
        <w:t>线性代数、概率论与数理统计</w:t>
      </w:r>
      <w:r>
        <w:rPr>
          <w:rFonts w:hint="eastAsia" w:ascii="楷体" w:hAnsi="楷体" w:eastAsia="楷体"/>
          <w:b/>
          <w:sz w:val="28"/>
          <w:szCs w:val="28"/>
        </w:rPr>
        <w:t>两门</w:t>
      </w:r>
      <w:r>
        <w:rPr>
          <w:rFonts w:ascii="楷体" w:hAnsi="楷体" w:eastAsia="楷体"/>
          <w:b/>
          <w:sz w:val="28"/>
          <w:szCs w:val="28"/>
        </w:rPr>
        <w:t>课程。</w:t>
      </w:r>
    </w:p>
    <w:p>
      <w:pPr>
        <w:rPr>
          <w:rFonts w:hint="eastAsia" w:ascii="楷体" w:hAnsi="楷体" w:eastAsia="楷体"/>
          <w:b/>
          <w:color w:val="0070C0"/>
          <w:sz w:val="28"/>
          <w:szCs w:val="28"/>
        </w:rPr>
      </w:pPr>
      <w:r>
        <w:rPr>
          <w:rFonts w:hint="eastAsia" w:ascii="楷体" w:hAnsi="楷体" w:eastAsia="楷体"/>
          <w:b/>
          <w:color w:val="C00000"/>
          <w:sz w:val="28"/>
          <w:szCs w:val="28"/>
        </w:rPr>
        <w:t>主讲老师项晶菁 个人简介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项晶菁，</w:t>
      </w:r>
      <w:r>
        <w:rPr>
          <w:rFonts w:ascii="楷体" w:hAnsi="楷体" w:eastAsia="楷体"/>
          <w:b/>
          <w:sz w:val="28"/>
          <w:szCs w:val="28"/>
        </w:rPr>
        <w:t>2003</w:t>
      </w:r>
      <w:r>
        <w:rPr>
          <w:rFonts w:hint="eastAsia" w:ascii="楷体" w:hAnsi="楷体" w:eastAsia="楷体"/>
          <w:b/>
          <w:sz w:val="28"/>
          <w:szCs w:val="28"/>
        </w:rPr>
        <w:t>年于陕西师范大学获数学教育硕士学位，</w:t>
      </w:r>
      <w:r>
        <w:rPr>
          <w:rFonts w:ascii="楷体" w:hAnsi="楷体" w:eastAsia="楷体"/>
          <w:b/>
          <w:sz w:val="28"/>
          <w:szCs w:val="28"/>
        </w:rPr>
        <w:t>2012</w:t>
      </w:r>
      <w:r>
        <w:rPr>
          <w:rFonts w:hint="eastAsia" w:ascii="楷体" w:hAnsi="楷体" w:eastAsia="楷体"/>
          <w:b/>
          <w:sz w:val="28"/>
          <w:szCs w:val="28"/>
        </w:rPr>
        <w:t>年</w:t>
      </w:r>
      <w:r>
        <w:rPr>
          <w:rFonts w:ascii="楷体" w:hAnsi="楷体" w:eastAsia="楷体"/>
          <w:b/>
          <w:sz w:val="28"/>
          <w:szCs w:val="28"/>
        </w:rPr>
        <w:t>2</w:t>
      </w:r>
      <w:r>
        <w:rPr>
          <w:rFonts w:hint="eastAsia" w:ascii="楷体" w:hAnsi="楷体" w:eastAsia="楷体"/>
          <w:b/>
          <w:sz w:val="28"/>
          <w:szCs w:val="28"/>
        </w:rPr>
        <w:t>月作为我校青年骨干教师赴美国俄亥俄州立大学访问学习。主要从事数学教育、生物数学研究。</w:t>
      </w:r>
      <w:r>
        <w:rPr>
          <w:rFonts w:ascii="楷体" w:hAnsi="楷体" w:eastAsia="楷体"/>
          <w:b/>
          <w:sz w:val="28"/>
          <w:szCs w:val="28"/>
        </w:rPr>
        <w:t xml:space="preserve"> 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主持项目及获奖情况（近五年）</w:t>
      </w:r>
      <w:r>
        <w:rPr>
          <w:rFonts w:ascii="楷体" w:hAnsi="楷体" w:eastAsia="楷体"/>
          <w:b/>
          <w:sz w:val="28"/>
          <w:szCs w:val="28"/>
        </w:rPr>
        <w:t>: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ascii="楷体" w:hAnsi="楷体" w:eastAsia="楷体"/>
          <w:b/>
          <w:sz w:val="28"/>
          <w:szCs w:val="28"/>
        </w:rPr>
        <w:t>1</w:t>
      </w:r>
      <w:r>
        <w:rPr>
          <w:rFonts w:hint="eastAsia" w:ascii="楷体" w:hAnsi="楷体" w:eastAsia="楷体"/>
          <w:b/>
          <w:sz w:val="28"/>
          <w:szCs w:val="28"/>
        </w:rPr>
        <w:t>、</w:t>
      </w:r>
      <w:r>
        <w:rPr>
          <w:rFonts w:ascii="楷体" w:hAnsi="楷体" w:eastAsia="楷体"/>
          <w:b/>
          <w:sz w:val="28"/>
          <w:szCs w:val="28"/>
        </w:rPr>
        <w:t>2010</w:t>
      </w:r>
      <w:r>
        <w:rPr>
          <w:rFonts w:hint="eastAsia" w:ascii="楷体" w:hAnsi="楷体" w:eastAsia="楷体"/>
          <w:b/>
          <w:sz w:val="28"/>
          <w:szCs w:val="28"/>
        </w:rPr>
        <w:t>年数学文化课程建设荣获校级教学成果二等奖，排名第</w:t>
      </w:r>
      <w:r>
        <w:rPr>
          <w:rFonts w:ascii="楷体" w:hAnsi="楷体" w:eastAsia="楷体"/>
          <w:b/>
          <w:sz w:val="28"/>
          <w:szCs w:val="28"/>
        </w:rPr>
        <w:t>1</w:t>
      </w:r>
      <w:r>
        <w:rPr>
          <w:rFonts w:hint="eastAsia" w:ascii="楷体" w:hAnsi="楷体" w:eastAsia="楷体"/>
          <w:b/>
          <w:sz w:val="28"/>
          <w:szCs w:val="28"/>
        </w:rPr>
        <w:t>，共</w:t>
      </w:r>
      <w:r>
        <w:rPr>
          <w:rFonts w:ascii="楷体" w:hAnsi="楷体" w:eastAsia="楷体"/>
          <w:b/>
          <w:sz w:val="28"/>
          <w:szCs w:val="28"/>
        </w:rPr>
        <w:t>5</w:t>
      </w:r>
      <w:r>
        <w:rPr>
          <w:rFonts w:hint="eastAsia" w:ascii="楷体" w:hAnsi="楷体" w:eastAsia="楷体"/>
          <w:b/>
          <w:sz w:val="28"/>
          <w:szCs w:val="28"/>
        </w:rPr>
        <w:t>人。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ascii="楷体" w:hAnsi="楷体" w:eastAsia="楷体"/>
          <w:b/>
          <w:sz w:val="28"/>
          <w:szCs w:val="28"/>
        </w:rPr>
        <w:t>2</w:t>
      </w:r>
      <w:r>
        <w:rPr>
          <w:rFonts w:hint="eastAsia" w:ascii="楷体" w:hAnsi="楷体" w:eastAsia="楷体"/>
          <w:b/>
          <w:sz w:val="28"/>
          <w:szCs w:val="28"/>
        </w:rPr>
        <w:t>、</w:t>
      </w:r>
      <w:r>
        <w:rPr>
          <w:rFonts w:ascii="楷体" w:hAnsi="楷体" w:eastAsia="楷体"/>
          <w:b/>
          <w:sz w:val="28"/>
          <w:szCs w:val="28"/>
        </w:rPr>
        <w:t>2013</w:t>
      </w:r>
      <w:r>
        <w:rPr>
          <w:rFonts w:hint="eastAsia" w:ascii="楷体" w:hAnsi="楷体" w:eastAsia="楷体"/>
          <w:b/>
          <w:sz w:val="28"/>
          <w:szCs w:val="28"/>
        </w:rPr>
        <w:t>年《数学文化选讲》获校级教材重点资助项目。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ascii="楷体" w:hAnsi="楷体" w:eastAsia="楷体"/>
          <w:b/>
          <w:sz w:val="28"/>
          <w:szCs w:val="28"/>
        </w:rPr>
        <w:t>3</w:t>
      </w:r>
      <w:r>
        <w:rPr>
          <w:rFonts w:hint="eastAsia" w:ascii="楷体" w:hAnsi="楷体" w:eastAsia="楷体"/>
          <w:b/>
          <w:sz w:val="28"/>
          <w:szCs w:val="28"/>
        </w:rPr>
        <w:t>、</w:t>
      </w:r>
      <w:r>
        <w:rPr>
          <w:rFonts w:ascii="楷体" w:hAnsi="楷体" w:eastAsia="楷体"/>
          <w:b/>
          <w:sz w:val="28"/>
          <w:szCs w:val="28"/>
        </w:rPr>
        <w:t>2014</w:t>
      </w:r>
      <w:r>
        <w:rPr>
          <w:rFonts w:hint="eastAsia" w:ascii="楷体" w:hAnsi="楷体" w:eastAsia="楷体"/>
          <w:b/>
          <w:sz w:val="28"/>
          <w:szCs w:val="28"/>
        </w:rPr>
        <w:t>年</w:t>
      </w:r>
      <w:r>
        <w:rPr>
          <w:rFonts w:ascii="楷体" w:hAnsi="楷体" w:eastAsia="楷体"/>
          <w:b/>
          <w:sz w:val="28"/>
          <w:szCs w:val="28"/>
        </w:rPr>
        <w:t>10</w:t>
      </w:r>
      <w:r>
        <w:rPr>
          <w:rFonts w:hint="eastAsia" w:ascii="楷体" w:hAnsi="楷体" w:eastAsia="楷体"/>
          <w:b/>
          <w:sz w:val="28"/>
          <w:szCs w:val="28"/>
        </w:rPr>
        <w:t>月主持陕西省教育科学研究所“十二五“规划项目</w:t>
      </w:r>
      <w:r>
        <w:rPr>
          <w:rFonts w:ascii="楷体" w:hAnsi="楷体" w:eastAsia="楷体"/>
          <w:b/>
          <w:sz w:val="28"/>
          <w:szCs w:val="28"/>
        </w:rPr>
        <w:t>:</w:t>
      </w:r>
      <w:r>
        <w:rPr>
          <w:rFonts w:hint="eastAsia" w:ascii="楷体" w:hAnsi="楷体" w:eastAsia="楷体"/>
          <w:b/>
          <w:sz w:val="28"/>
          <w:szCs w:val="28"/>
        </w:rPr>
        <w:t>工科院校进一步推进数学文化通识教育的实践与研究。</w:t>
      </w:r>
    </w:p>
    <w:p>
      <w:pPr>
        <w:rPr>
          <w:rFonts w:hint="eastAsia" w:ascii="楷体" w:hAnsi="楷体" w:eastAsia="楷体"/>
          <w:b/>
          <w:sz w:val="28"/>
          <w:szCs w:val="28"/>
        </w:rPr>
      </w:pPr>
      <w:r>
        <w:rPr>
          <w:rFonts w:ascii="楷体" w:hAnsi="楷体" w:eastAsia="楷体"/>
          <w:b/>
          <w:sz w:val="28"/>
          <w:szCs w:val="28"/>
        </w:rPr>
        <w:t>4</w:t>
      </w:r>
      <w:r>
        <w:rPr>
          <w:rFonts w:hint="eastAsia" w:ascii="楷体" w:hAnsi="楷体" w:eastAsia="楷体"/>
          <w:b/>
          <w:sz w:val="28"/>
          <w:szCs w:val="28"/>
        </w:rPr>
        <w:t>、</w:t>
      </w:r>
      <w:r>
        <w:rPr>
          <w:rFonts w:ascii="楷体" w:hAnsi="楷体" w:eastAsia="楷体"/>
          <w:b/>
          <w:sz w:val="28"/>
          <w:szCs w:val="28"/>
        </w:rPr>
        <w:t>2015</w:t>
      </w:r>
      <w:r>
        <w:rPr>
          <w:rFonts w:hint="eastAsia" w:ascii="楷体" w:hAnsi="楷体" w:eastAsia="楷体"/>
          <w:b/>
          <w:sz w:val="28"/>
          <w:szCs w:val="28"/>
        </w:rPr>
        <w:t>年陕西省教育厅项目：媒介传播疾病的数学建模与分析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5、2015年出版著作《数学文化选粹》，发表学术论文6篇。</w:t>
      </w:r>
    </w:p>
    <w:p>
      <w:pPr>
        <w:rPr>
          <w:rFonts w:ascii="楷体" w:hAnsi="楷体" w:eastAsia="楷体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楷体">
    <w:altName w:val="楷体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074F0"/>
    <w:rsid w:val="00014D6E"/>
    <w:rsid w:val="000D1E99"/>
    <w:rsid w:val="00144F47"/>
    <w:rsid w:val="00492716"/>
    <w:rsid w:val="0060302B"/>
    <w:rsid w:val="006D01BC"/>
    <w:rsid w:val="008074F0"/>
    <w:rsid w:val="00855C08"/>
    <w:rsid w:val="0092315C"/>
    <w:rsid w:val="0099756F"/>
    <w:rsid w:val="00C603C2"/>
    <w:rsid w:val="00CC1929"/>
    <w:rsid w:val="00D71939"/>
    <w:rsid w:val="00D971A8"/>
    <w:rsid w:val="00E764F4"/>
    <w:rsid w:val="31E35F4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102</Words>
  <Characters>584</Characters>
  <Lines>4</Lines>
  <Paragraphs>1</Paragraphs>
  <TotalTime>0</TotalTime>
  <ScaleCrop>false</ScaleCrop>
  <LinksUpToDate>false</LinksUpToDate>
  <CharactersWithSpaces>0</CharactersWithSpaces>
  <Application>WPS Office_9.1.0.5184_F1E327BC-269C-435d-A152-05C5408002CA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2015-09-13T10:55:00Z</dcterms:created>
  <dc:creator>光爱燕</dc:creator>
  <cp:lastModifiedBy>Administrator</cp:lastModifiedBy>
  <dcterms:modified xsi:type="dcterms:W3CDTF">2015-09-16T07:56:13Z</dcterms:modified>
  <dc:title>《数学之美》课程简介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